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D" w:rsidRDefault="005946E9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127635</wp:posOffset>
            </wp:positionV>
            <wp:extent cx="838200" cy="942975"/>
            <wp:effectExtent l="19050" t="0" r="0" b="0"/>
            <wp:wrapSquare wrapText="bothSides"/>
            <wp:docPr id="1" name="Рисунок 1" descr="герб в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A8D" w:rsidRDefault="005946E9" w:rsidP="005946E9">
      <w:pPr>
        <w:pStyle w:val="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603A8D" w:rsidRDefault="00603A8D" w:rsidP="00603A8D">
      <w:pPr>
        <w:pStyle w:val="1"/>
        <w:jc w:val="center"/>
        <w:rPr>
          <w:b/>
          <w:sz w:val="24"/>
          <w:szCs w:val="24"/>
        </w:rPr>
      </w:pPr>
    </w:p>
    <w:p w:rsidR="003D0181" w:rsidRPr="00C1551C" w:rsidRDefault="003D0181" w:rsidP="003D0181">
      <w:pPr>
        <w:pStyle w:val="1"/>
        <w:keepNext w:val="0"/>
        <w:widowControl w:val="0"/>
        <w:suppressAutoHyphens/>
        <w:ind w:left="142"/>
        <w:jc w:val="center"/>
        <w:rPr>
          <w:b/>
          <w:sz w:val="36"/>
          <w:szCs w:val="36"/>
        </w:rPr>
      </w:pPr>
      <w:r w:rsidRPr="00C1551C">
        <w:rPr>
          <w:sz w:val="36"/>
          <w:szCs w:val="36"/>
        </w:rPr>
        <w:t>СОВЕТ ДЕПУТАТОВ</w:t>
      </w:r>
    </w:p>
    <w:p w:rsidR="00603A8D" w:rsidRDefault="003D0181" w:rsidP="003D0181">
      <w:pPr>
        <w:pStyle w:val="1"/>
        <w:jc w:val="center"/>
        <w:rPr>
          <w:b/>
          <w:sz w:val="32"/>
          <w:szCs w:val="32"/>
        </w:rPr>
      </w:pPr>
      <w:r w:rsidRPr="00C1551C">
        <w:rPr>
          <w:sz w:val="36"/>
          <w:szCs w:val="36"/>
        </w:rPr>
        <w:t>ГАГАРИНСКОГО ГОРОДСКОГО ПОСЕЛЕНИЯ ГАГАРИНСКОГО РАЙОНА СМОЛЕНСКОЙ ОБЛАСТИ</w:t>
      </w:r>
    </w:p>
    <w:p w:rsidR="00603A8D" w:rsidRDefault="00603A8D" w:rsidP="00603A8D">
      <w:pPr>
        <w:pStyle w:val="2"/>
      </w:pPr>
    </w:p>
    <w:p w:rsidR="00603A8D" w:rsidRDefault="00603A8D" w:rsidP="00603A8D">
      <w:pPr>
        <w:pStyle w:val="2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603A8D" w:rsidRDefault="002606CF" w:rsidP="00603A8D">
      <w:pPr>
        <w:widowControl w:val="0"/>
        <w:autoSpaceDE w:val="0"/>
        <w:autoSpaceDN w:val="0"/>
        <w:adjustRightInd w:val="0"/>
        <w:spacing w:before="200" w:after="200"/>
        <w:jc w:val="both"/>
      </w:pPr>
      <w:r>
        <w:t xml:space="preserve">от </w:t>
      </w:r>
      <w:r w:rsidR="00C96767">
        <w:t>08</w:t>
      </w:r>
      <w:r w:rsidR="000C7B53">
        <w:t xml:space="preserve"> </w:t>
      </w:r>
      <w:r w:rsidR="0009256C">
        <w:t>сентября</w:t>
      </w:r>
      <w:r w:rsidR="000C7B53">
        <w:t xml:space="preserve"> 202</w:t>
      </w:r>
      <w:r w:rsidR="00C96767">
        <w:t>3</w:t>
      </w:r>
      <w:r w:rsidR="000C7B53">
        <w:t xml:space="preserve"> года № </w:t>
      </w:r>
      <w:r w:rsidR="003C066A">
        <w:t>69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453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</w:t>
      </w:r>
      <w:r w:rsidR="00A34EFD">
        <w:rPr>
          <w:rFonts w:ascii="Times New Roman CYR" w:hAnsi="Times New Roman CYR" w:cs="Times New Roman CYR"/>
        </w:rPr>
        <w:t>й области за перв</w:t>
      </w:r>
      <w:r w:rsidR="0009256C">
        <w:rPr>
          <w:rFonts w:ascii="Times New Roman CYR" w:hAnsi="Times New Roman CYR" w:cs="Times New Roman CYR"/>
        </w:rPr>
        <w:t>ое</w:t>
      </w:r>
      <w:r w:rsidR="00A34EFD">
        <w:rPr>
          <w:rFonts w:ascii="Times New Roman CYR" w:hAnsi="Times New Roman CYR" w:cs="Times New Roman CYR"/>
        </w:rPr>
        <w:t xml:space="preserve"> </w:t>
      </w:r>
      <w:r w:rsidR="0009256C">
        <w:rPr>
          <w:rFonts w:ascii="Times New Roman CYR" w:hAnsi="Times New Roman CYR" w:cs="Times New Roman CYR"/>
        </w:rPr>
        <w:t>полугодие</w:t>
      </w:r>
      <w:r w:rsidR="00A34EFD">
        <w:rPr>
          <w:rFonts w:ascii="Times New Roman CYR" w:hAnsi="Times New Roman CYR" w:cs="Times New Roman CYR"/>
        </w:rPr>
        <w:t xml:space="preserve"> 202</w:t>
      </w:r>
      <w:r w:rsidR="00C96767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года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Pr="00603A8D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 xml:space="preserve">муниципального образования «Гагаринский район» Смоленской области </w:t>
      </w:r>
      <w:r>
        <w:rPr>
          <w:rFonts w:ascii="Times New Roman CYR" w:hAnsi="Times New Roman CYR" w:cs="Times New Roman CYR"/>
        </w:rPr>
        <w:t xml:space="preserve">Т.В. Кудриной 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</w:t>
      </w:r>
      <w:r w:rsidR="00A34EFD">
        <w:rPr>
          <w:rFonts w:ascii="Times New Roman CYR" w:hAnsi="Times New Roman CYR" w:cs="Times New Roman CYR"/>
        </w:rPr>
        <w:t>а перв</w:t>
      </w:r>
      <w:r w:rsidR="0009256C">
        <w:rPr>
          <w:rFonts w:ascii="Times New Roman CYR" w:hAnsi="Times New Roman CYR" w:cs="Times New Roman CYR"/>
        </w:rPr>
        <w:t>ое</w:t>
      </w:r>
      <w:r w:rsidR="00A34EFD">
        <w:rPr>
          <w:rFonts w:ascii="Times New Roman CYR" w:hAnsi="Times New Roman CYR" w:cs="Times New Roman CYR"/>
        </w:rPr>
        <w:t xml:space="preserve"> </w:t>
      </w:r>
      <w:r w:rsidR="0009256C">
        <w:rPr>
          <w:rFonts w:ascii="Times New Roman CYR" w:hAnsi="Times New Roman CYR" w:cs="Times New Roman CYR"/>
        </w:rPr>
        <w:t>полугодие</w:t>
      </w:r>
      <w:r w:rsidR="00A34EFD">
        <w:rPr>
          <w:rFonts w:ascii="Times New Roman CYR" w:hAnsi="Times New Roman CYR" w:cs="Times New Roman CYR"/>
        </w:rPr>
        <w:t xml:space="preserve"> 202</w:t>
      </w:r>
      <w:r w:rsidR="00C96767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года, Совет депутатов Гагаринского городского поселения Гагаринского района Смоленской области </w:t>
      </w:r>
    </w:p>
    <w:p w:rsidR="00603A8D" w:rsidRP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900"/>
        <w:jc w:val="center"/>
        <w:rPr>
          <w:rFonts w:ascii="Times New Roman CYR" w:hAnsi="Times New Roman CYR" w:cs="Times New Roman CYR"/>
          <w:b/>
        </w:rPr>
      </w:pPr>
      <w:r w:rsidRPr="00603A8D">
        <w:rPr>
          <w:rFonts w:ascii="Times New Roman CYR" w:hAnsi="Times New Roman CYR" w:cs="Times New Roman CYR"/>
          <w:b/>
        </w:rPr>
        <w:t>РЕШИЛ: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Информацию заместителя Главы муниципального образования «Гагаринский район» </w:t>
      </w:r>
      <w:r w:rsidR="005455EE">
        <w:rPr>
          <w:rFonts w:ascii="Times New Roman CYR" w:hAnsi="Times New Roman CYR" w:cs="Times New Roman CYR"/>
        </w:rPr>
        <w:t>Смоленской области,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 муниципального образования «Гагаринский район» Смоленской области</w:t>
      </w:r>
      <w:r w:rsidRPr="00603A8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Т.В. Кудриной об</w:t>
      </w:r>
      <w:r w:rsidR="005455EE">
        <w:rPr>
          <w:rFonts w:ascii="Times New Roman CYR" w:hAnsi="Times New Roman CYR" w:cs="Times New Roman CYR"/>
        </w:rPr>
        <w:t xml:space="preserve"> 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за </w:t>
      </w:r>
      <w:r w:rsidR="0009256C">
        <w:rPr>
          <w:rFonts w:ascii="Times New Roman CYR" w:hAnsi="Times New Roman CYR" w:cs="Times New Roman CYR"/>
        </w:rPr>
        <w:t>первое полугодие</w:t>
      </w:r>
      <w:r w:rsidR="00A34EFD">
        <w:rPr>
          <w:rFonts w:ascii="Times New Roman CYR" w:hAnsi="Times New Roman CYR" w:cs="Times New Roman CYR"/>
        </w:rPr>
        <w:t xml:space="preserve"> 202</w:t>
      </w:r>
      <w:r w:rsidR="00CD6E04">
        <w:rPr>
          <w:rFonts w:ascii="Times New Roman CYR" w:hAnsi="Times New Roman CYR" w:cs="Times New Roman CYR"/>
        </w:rPr>
        <w:t>3</w:t>
      </w:r>
      <w:r w:rsidR="005455EE">
        <w:rPr>
          <w:rFonts w:ascii="Times New Roman CYR" w:hAnsi="Times New Roman CYR" w:cs="Times New Roman CYR"/>
        </w:rPr>
        <w:t xml:space="preserve"> года принять к сведению согласно приложению</w:t>
      </w:r>
      <w:r>
        <w:rPr>
          <w:rFonts w:ascii="Times New Roman CYR" w:hAnsi="Times New Roman CYR" w:cs="Times New Roman CYR"/>
        </w:rPr>
        <w:t>.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Решение вступает в силу со дня принятия и подлежит официальному опубликованию.</w:t>
      </w:r>
    </w:p>
    <w:p w:rsidR="003D0181" w:rsidRDefault="003D0181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</w:p>
    <w:p w:rsidR="003D0181" w:rsidRPr="00C1551C" w:rsidRDefault="003D0181" w:rsidP="003D0181">
      <w:pPr>
        <w:jc w:val="both"/>
      </w:pPr>
      <w:r w:rsidRPr="00C1551C">
        <w:t>Глава муниципального образования</w:t>
      </w:r>
    </w:p>
    <w:p w:rsidR="003D0181" w:rsidRPr="00C1551C" w:rsidRDefault="003D0181" w:rsidP="003D0181">
      <w:pPr>
        <w:tabs>
          <w:tab w:val="left" w:pos="6075"/>
        </w:tabs>
        <w:jc w:val="both"/>
      </w:pPr>
      <w:r w:rsidRPr="00C1551C">
        <w:t>Гагаринского городского поселения</w:t>
      </w:r>
    </w:p>
    <w:p w:rsidR="003D0181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rPr>
          <w:b/>
        </w:rPr>
      </w:pPr>
      <w:r w:rsidRPr="00C1551C">
        <w:t>Гагаринского района Смоленской области</w:t>
      </w:r>
      <w:r w:rsidRPr="00C1551C">
        <w:tab/>
      </w:r>
      <w:r>
        <w:tab/>
      </w:r>
      <w:r w:rsidRPr="00C1551C">
        <w:tab/>
      </w:r>
      <w:r w:rsidRPr="00C1551C">
        <w:rPr>
          <w:b/>
        </w:rPr>
        <w:t>Н.Л. Ченцова</w:t>
      </w:r>
    </w:p>
    <w:p w:rsidR="003D0181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b/>
        </w:rPr>
      </w:pPr>
    </w:p>
    <w:p w:rsidR="003D0181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b/>
        </w:rPr>
      </w:pPr>
    </w:p>
    <w:p w:rsidR="00440879" w:rsidRDefault="003D0181" w:rsidP="003D0181">
      <w:pPr>
        <w:widowControl w:val="0"/>
        <w:tabs>
          <w:tab w:val="left" w:pos="6270"/>
        </w:tabs>
        <w:autoSpaceDE w:val="0"/>
        <w:autoSpaceDN w:val="0"/>
        <w:adjustRightInd w:val="0"/>
        <w:ind w:left="-1134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</w:t>
      </w:r>
      <w:r w:rsidR="00440879">
        <w:rPr>
          <w:rFonts w:ascii="Times New Roman CYR" w:hAnsi="Times New Roman CYR" w:cs="Times New Roman CYR"/>
          <w:sz w:val="24"/>
          <w:szCs w:val="24"/>
        </w:rPr>
        <w:t>Приложение к решению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Совета депутатов города Гагарин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Смоленской области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CD6E04">
        <w:rPr>
          <w:rFonts w:ascii="Times New Roman CYR" w:hAnsi="Times New Roman CYR" w:cs="Times New Roman CYR"/>
          <w:sz w:val="24"/>
          <w:szCs w:val="24"/>
        </w:rPr>
        <w:t>08</w:t>
      </w:r>
      <w:r w:rsidR="000C7B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9256C">
        <w:rPr>
          <w:rFonts w:ascii="Times New Roman CYR" w:hAnsi="Times New Roman CYR" w:cs="Times New Roman CYR"/>
          <w:sz w:val="24"/>
          <w:szCs w:val="24"/>
        </w:rPr>
        <w:t>сентября</w:t>
      </w:r>
      <w:r w:rsidR="000C7B53">
        <w:rPr>
          <w:rFonts w:ascii="Times New Roman CYR" w:hAnsi="Times New Roman CYR" w:cs="Times New Roman CYR"/>
          <w:sz w:val="24"/>
          <w:szCs w:val="24"/>
        </w:rPr>
        <w:t xml:space="preserve"> 202</w:t>
      </w:r>
      <w:r w:rsidR="00CD6E04">
        <w:rPr>
          <w:rFonts w:ascii="Times New Roman CYR" w:hAnsi="Times New Roman CYR" w:cs="Times New Roman CYR"/>
          <w:sz w:val="24"/>
          <w:szCs w:val="24"/>
        </w:rPr>
        <w:t>3</w:t>
      </w:r>
      <w:r w:rsidR="000C7B53">
        <w:rPr>
          <w:rFonts w:ascii="Times New Roman CYR" w:hAnsi="Times New Roman CYR" w:cs="Times New Roman CYR"/>
          <w:sz w:val="24"/>
          <w:szCs w:val="24"/>
        </w:rPr>
        <w:t xml:space="preserve"> года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3C066A">
        <w:rPr>
          <w:rFonts w:ascii="Times New Roman CYR" w:hAnsi="Times New Roman CYR" w:cs="Times New Roman CYR"/>
          <w:sz w:val="24"/>
          <w:szCs w:val="24"/>
        </w:rPr>
        <w:t>69</w:t>
      </w:r>
    </w:p>
    <w:p w:rsidR="00865362" w:rsidRDefault="00865362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2006"/>
        <w:gridCol w:w="1367"/>
        <w:gridCol w:w="1150"/>
        <w:gridCol w:w="1012"/>
        <w:gridCol w:w="1078"/>
        <w:gridCol w:w="1012"/>
        <w:gridCol w:w="1058"/>
        <w:gridCol w:w="1078"/>
      </w:tblGrid>
      <w:tr w:rsidR="000B7867" w:rsidRPr="000B7867" w:rsidTr="000B7867">
        <w:trPr>
          <w:trHeight w:val="825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2:H70"/>
            <w:r w:rsidRPr="000B7867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 Гагаринского городского поселения Гагаринского района Смоленской области за 1 полугодие 2023 года</w:t>
            </w:r>
            <w:bookmarkEnd w:id="0"/>
          </w:p>
        </w:tc>
      </w:tr>
      <w:tr w:rsidR="000B7867" w:rsidRPr="000B7867" w:rsidTr="000B7867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Уточненный план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Исполнено за 1 полугодие 2023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% исполнения за 1 полугодие 2023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Исполнено  за 1 полугодие 2022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отклонение (факт 2023-2022)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%              роста исполнения 2023 к 2022 году</w:t>
            </w:r>
          </w:p>
        </w:tc>
      </w:tr>
      <w:tr w:rsidR="000B7867" w:rsidRPr="000B7867" w:rsidTr="000B7867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 xml:space="preserve">НАЛОГОВЫЕ И НЕНАЛОГОВЫЕ ДОХОДЫ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 xml:space="preserve">1 00 00000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106 545,8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46 046,1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43,2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38 847,6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7 198,5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118,5</w:t>
            </w:r>
          </w:p>
        </w:tc>
      </w:tr>
      <w:tr w:rsidR="000B7867" w:rsidRPr="000B7867" w:rsidTr="000B786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1 01 00000 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66 550,3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33 893,5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29 623,3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4 270,2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114,4</w:t>
            </w:r>
          </w:p>
        </w:tc>
      </w:tr>
      <w:tr w:rsidR="000B7867" w:rsidRPr="000B7867" w:rsidTr="000B7867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 xml:space="preserve">1 01 02000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66 550,3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33 893,5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29 623,3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4 270,2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114,4</w:t>
            </w:r>
          </w:p>
        </w:tc>
      </w:tr>
      <w:tr w:rsidR="000B7867" w:rsidRPr="000B7867" w:rsidTr="000B786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НАЛОГИ НА ТОВАРЫ, РЕАЛИЗУЕМЫЕ НА ТЕРРИТОРИИ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 xml:space="preserve">1 03 00000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2 745,1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1 495,9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1 409,3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106,1</w:t>
            </w:r>
          </w:p>
        </w:tc>
      </w:tr>
      <w:tr w:rsidR="000B7867" w:rsidRPr="000B7867" w:rsidTr="000B786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 xml:space="preserve">1 03 02000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2 745,1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1 495,9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1 409,3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106,1</w:t>
            </w:r>
          </w:p>
        </w:tc>
      </w:tr>
      <w:tr w:rsidR="000B7867" w:rsidRPr="000B7867" w:rsidTr="000B7867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1 06 00000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31 208,8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4 708,8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4 721,6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-12,8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99,7</w:t>
            </w:r>
          </w:p>
        </w:tc>
      </w:tr>
      <w:tr w:rsidR="000B7867" w:rsidRPr="000B7867" w:rsidTr="000B786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 xml:space="preserve">1 06 01000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9 200,8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760,0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-666,3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12,3</w:t>
            </w:r>
          </w:p>
        </w:tc>
      </w:tr>
      <w:tr w:rsidR="000B7867" w:rsidRPr="000B7867" w:rsidTr="000B786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Земельный налог,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 xml:space="preserve">1 06 06000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22 008,0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4 615,1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3 961,6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653,5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116,5</w:t>
            </w:r>
          </w:p>
        </w:tc>
      </w:tr>
      <w:tr w:rsidR="000B7867" w:rsidRPr="000B7867" w:rsidTr="000B786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1 06 06030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15 119,5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4 723,3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31,2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6 060,7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-1 337,4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77,9</w:t>
            </w:r>
          </w:p>
        </w:tc>
      </w:tr>
      <w:tr w:rsidR="000B7867" w:rsidRPr="000B7867" w:rsidTr="000B7867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1 06 06040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6 888,5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-108,2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-2 099,1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1 990,9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5,2</w:t>
            </w:r>
          </w:p>
        </w:tc>
      </w:tr>
      <w:tr w:rsidR="000B7867" w:rsidRPr="000B7867" w:rsidTr="000B7867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1 11 00000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3 998,0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2 205,8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2 278,6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-72,8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96,8</w:t>
            </w:r>
          </w:p>
        </w:tc>
      </w:tr>
      <w:tr w:rsidR="000B7867" w:rsidRPr="000B7867" w:rsidTr="000B786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Доходы, полученные в виде арендной платы за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 xml:space="preserve">1 11 05010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1 379,3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1 856,2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134,6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871,2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213,1</w:t>
            </w:r>
          </w:p>
        </w:tc>
      </w:tr>
      <w:tr w:rsidR="000B7867" w:rsidRPr="000B7867" w:rsidTr="000B7867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 xml:space="preserve">1 11 05030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2 576,7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349,6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1 385,2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-1 035,6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25,2</w:t>
            </w:r>
          </w:p>
        </w:tc>
      </w:tr>
      <w:tr w:rsidR="000B7867" w:rsidRPr="000B7867" w:rsidTr="000B786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 xml:space="preserve">Плата, поступившая в рамках договора за предоставление права на размещение и </w:t>
            </w:r>
            <w:r w:rsidRPr="000B7867">
              <w:rPr>
                <w:sz w:val="20"/>
                <w:szCs w:val="20"/>
              </w:rPr>
              <w:lastRenderedPageBreak/>
              <w:t xml:space="preserve">эксплуатацию нестационарного торгового объекта, установку и эксплуатацию рекламных конструкций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lastRenderedPageBreak/>
              <w:t>1 11 09080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-22,2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B7867" w:rsidRPr="000B7867" w:rsidTr="000B786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 xml:space="preserve">1 13 00000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238,8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157,1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152,0</w:t>
            </w:r>
          </w:p>
        </w:tc>
      </w:tr>
      <w:tr w:rsidR="000B7867" w:rsidRPr="000B7867" w:rsidTr="000B786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Прочие доходы от оказания платных услуг и компенсации затрат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 xml:space="preserve">1 13 02995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238,8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157,1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152,0</w:t>
            </w:r>
          </w:p>
        </w:tc>
      </w:tr>
      <w:tr w:rsidR="000B7867" w:rsidRPr="000B7867" w:rsidTr="000B786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 xml:space="preserve">1 14 00000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1 590,5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653,6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936,9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243,3</w:t>
            </w:r>
          </w:p>
        </w:tc>
      </w:tr>
      <w:tr w:rsidR="000B7867" w:rsidRPr="000B7867" w:rsidTr="000B786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Доходы от продажи земельных участков, государственная собственность на 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 xml:space="preserve">1 14 06013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1 590,5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653,6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936,9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243,3</w:t>
            </w:r>
          </w:p>
        </w:tc>
      </w:tr>
      <w:tr w:rsidR="000B7867" w:rsidRPr="000B7867" w:rsidTr="000B786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 xml:space="preserve">1 14 06025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B7867" w:rsidRPr="000B7867" w:rsidTr="000B7867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 xml:space="preserve">1 16 00000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1 713,6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1 912,8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111,6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1 908,7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46 653,7</w:t>
            </w:r>
          </w:p>
        </w:tc>
      </w:tr>
      <w:tr w:rsidR="000B7867" w:rsidRPr="000B7867" w:rsidTr="000B7867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proofErr w:type="gramStart"/>
            <w:r w:rsidRPr="000B7867">
              <w:rPr>
                <w:sz w:val="20"/>
                <w:szCs w:val="20"/>
              </w:rPr>
              <w:t>,(</w:t>
            </w:r>
            <w:proofErr w:type="gramEnd"/>
            <w:r w:rsidRPr="000B7867">
              <w:rPr>
                <w:sz w:val="20"/>
                <w:szCs w:val="20"/>
              </w:rPr>
              <w:t xml:space="preserve">муниципальным казенным учреждением) городского </w:t>
            </w:r>
            <w:proofErr w:type="spellStart"/>
            <w:r w:rsidRPr="000B7867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1 16 070900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-4,1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0B7867" w:rsidRPr="000B7867" w:rsidTr="000B7867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 xml:space="preserve">Плата за возмещение вреда  автомобильным дорогам транспортными </w:t>
            </w:r>
            <w:r w:rsidRPr="000B7867">
              <w:rPr>
                <w:sz w:val="20"/>
                <w:szCs w:val="20"/>
              </w:rPr>
              <w:lastRenderedPageBreak/>
              <w:t xml:space="preserve">средствами, осуществляющими перевозки тяжеловесных (крупногабаритных) грузов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lastRenderedPageBreak/>
              <w:t>1 16 370000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1 713,6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1 912,8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111,6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1 912,8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B7867" w:rsidRPr="000B7867" w:rsidTr="000B786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 xml:space="preserve">1 17 00000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0B7867" w:rsidRPr="000B7867" w:rsidTr="000B786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200  00000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124 095,8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5 318,0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2 168,0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3 150,0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0B7867" w:rsidRPr="000B7867" w:rsidTr="000B7867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bottom"/>
            <w:hideMark/>
          </w:tcPr>
          <w:p w:rsidR="000B7867" w:rsidRPr="000B7867" w:rsidRDefault="000B7867" w:rsidP="000B786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202  00000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124 095,8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5 302,8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2 168,0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3 134,8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B7867">
              <w:rPr>
                <w:b/>
                <w:bCs/>
                <w:i/>
                <w:iCs/>
                <w:sz w:val="20"/>
                <w:szCs w:val="20"/>
              </w:rPr>
              <w:t>244,6</w:t>
            </w:r>
          </w:p>
        </w:tc>
      </w:tr>
      <w:tr w:rsidR="000B7867" w:rsidRPr="000B7867" w:rsidTr="000B7867">
        <w:trPr>
          <w:trHeight w:val="5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867" w:rsidRPr="000B7867" w:rsidRDefault="000B7867" w:rsidP="000B7867">
            <w:pPr>
              <w:rPr>
                <w:sz w:val="22"/>
                <w:szCs w:val="22"/>
              </w:rPr>
            </w:pPr>
            <w:r w:rsidRPr="000B7867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202  16001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3 776,6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1 888,2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1 509,6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378,6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125,1</w:t>
            </w:r>
          </w:p>
        </w:tc>
      </w:tr>
      <w:tr w:rsidR="000B7867" w:rsidRPr="000B7867" w:rsidTr="000B7867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Субсидии бюджетам бюджетной системы РФ,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 xml:space="preserve">2 02 20000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120 319,2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3 414,6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658,4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2 756,2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518,6</w:t>
            </w:r>
          </w:p>
        </w:tc>
      </w:tr>
      <w:tr w:rsidR="000B7867" w:rsidRPr="000B7867" w:rsidTr="000B7867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867" w:rsidRPr="000B7867" w:rsidRDefault="000B7867" w:rsidP="000B7867">
            <w:pPr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 xml:space="preserve">2 02 25555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14 796,2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1 881,6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1 881,6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B7867" w:rsidRPr="000B7867" w:rsidTr="000B786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 xml:space="preserve">2 02 29999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47 432,1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658,4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-658,4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0B7867" w:rsidRPr="000B7867" w:rsidTr="000B7867">
        <w:trPr>
          <w:trHeight w:val="6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867" w:rsidRPr="000B7867" w:rsidRDefault="000B7867" w:rsidP="000B7867">
            <w:pPr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ВОЗВРАТ ОСТАТКОВ СУБСИДИЙ, СУБВЕНЦИЙ, ИНЫХ МЕЖБ. ТРАНСФЕРТОВ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 xml:space="preserve">2 19 00000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sz w:val="20"/>
                <w:szCs w:val="20"/>
              </w:rPr>
            </w:pPr>
            <w:r w:rsidRPr="000B7867">
              <w:rPr>
                <w:sz w:val="20"/>
                <w:szCs w:val="20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i/>
                <w:iCs/>
                <w:sz w:val="20"/>
                <w:szCs w:val="20"/>
              </w:rPr>
            </w:pPr>
            <w:r w:rsidRPr="000B7867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0B7867" w:rsidRPr="000B7867" w:rsidTr="000B786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230 641,6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51 364,1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41 015,6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10 348,5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sz w:val="20"/>
                <w:szCs w:val="20"/>
              </w:rPr>
            </w:pPr>
            <w:r w:rsidRPr="000B7867">
              <w:rPr>
                <w:b/>
                <w:bCs/>
                <w:sz w:val="20"/>
                <w:szCs w:val="20"/>
              </w:rPr>
              <w:t>125,2</w:t>
            </w:r>
          </w:p>
        </w:tc>
      </w:tr>
      <w:tr w:rsidR="000B7867" w:rsidRPr="000B7867" w:rsidTr="000B7867">
        <w:trPr>
          <w:trHeight w:val="360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B7867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9 836,6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2 723,8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3 541,9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-818,1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76,9</w:t>
            </w:r>
          </w:p>
        </w:tc>
      </w:tr>
      <w:tr w:rsidR="000B7867" w:rsidRPr="000B7867" w:rsidTr="000B786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723,2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376,0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321,9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116,81</w:t>
            </w:r>
          </w:p>
        </w:tc>
      </w:tr>
      <w:tr w:rsidR="000B7867" w:rsidRPr="000B7867" w:rsidTr="000B786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1 846,2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883,9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827,6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106,8</w:t>
            </w:r>
          </w:p>
        </w:tc>
      </w:tr>
      <w:tr w:rsidR="000B7867" w:rsidRPr="000B7867" w:rsidTr="000B786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104,4</w:t>
            </w:r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-1 000,0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5 236,3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1 433,0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1 362,8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105,2</w:t>
            </w:r>
          </w:p>
        </w:tc>
      </w:tr>
      <w:tr w:rsidR="000B7867" w:rsidRPr="000B7867" w:rsidTr="000B786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3 172,0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218,4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188,4</w:t>
            </w:r>
          </w:p>
        </w:tc>
      </w:tr>
      <w:tr w:rsidR="000B7867" w:rsidRPr="000B7867" w:rsidTr="000B7867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3 172,0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465,4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247,0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218,4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188,4</w:t>
            </w:r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107 721,1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1 913,0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2 615,0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-702,0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73,2</w:t>
            </w:r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106 771,1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1 913,0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2 579,0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-666,0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74,2</w:t>
            </w:r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-36,0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200 401,5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52 259,8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30 892,5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21 367,3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169,2</w:t>
            </w:r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35 393,4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8 655,5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2 341,6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6 313,9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369,6</w:t>
            </w:r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85 270,2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7 065,6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1 763,3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5 302,3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400,7</w:t>
            </w:r>
          </w:p>
        </w:tc>
      </w:tr>
      <w:tr w:rsidR="000B7867" w:rsidRPr="000B7867" w:rsidTr="000B786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79 737,9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36 538,7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26 787,6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9 751,1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136,4</w:t>
            </w:r>
          </w:p>
        </w:tc>
      </w:tr>
      <w:tr w:rsidR="000B7867" w:rsidRPr="000B7867" w:rsidTr="000B786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B7867" w:rsidRPr="000B7867" w:rsidTr="000B7867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7867" w:rsidRPr="000B7867" w:rsidTr="000B786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145,7</w:t>
            </w:r>
          </w:p>
        </w:tc>
      </w:tr>
      <w:tr w:rsidR="000B7867" w:rsidRPr="000B7867" w:rsidTr="000B786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65,7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145,7</w:t>
            </w:r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858,9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913,0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-54,1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94,1</w:t>
            </w:r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838,9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891,0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-52,1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94,2</w:t>
            </w:r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-2,0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1 349,7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955,2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284,4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670,8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335,9</w:t>
            </w:r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302,2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-6,2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1 047,5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786,3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677,0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400,9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401,4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400,9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401,4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0B7867" w:rsidRPr="000B7867" w:rsidTr="000B786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B7867" w:rsidRPr="000B7867" w:rsidTr="000B786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-</w:t>
            </w:r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B7867" w:rsidRPr="000B7867" w:rsidRDefault="000B7867" w:rsidP="000B78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324 451,6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59 642,7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38 940,3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20 702,4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867">
              <w:rPr>
                <w:b/>
                <w:bCs/>
                <w:color w:val="000000"/>
                <w:sz w:val="20"/>
                <w:szCs w:val="20"/>
              </w:rPr>
              <w:t>153,2</w:t>
            </w:r>
          </w:p>
        </w:tc>
      </w:tr>
      <w:tr w:rsidR="000B7867" w:rsidRPr="000B7867" w:rsidTr="000B786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FF0000"/>
                <w:sz w:val="20"/>
                <w:szCs w:val="20"/>
              </w:rPr>
            </w:pPr>
            <w:r w:rsidRPr="000B7867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-93 810,0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-8 278,6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B7867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r w:rsidRPr="000B7867">
              <w:rPr>
                <w:color w:val="000000"/>
                <w:sz w:val="20"/>
                <w:szCs w:val="20"/>
              </w:rPr>
              <w:t>2 075,3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B7867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B7867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  <w:tr w:rsidR="000B7867" w:rsidRPr="000B7867" w:rsidTr="000B786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867" w:rsidRPr="000B7867" w:rsidRDefault="000B7867" w:rsidP="000B7867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867" w:rsidRPr="000B7867" w:rsidRDefault="000B7867" w:rsidP="000B786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126FF" w:rsidRDefault="003126FF" w:rsidP="0080722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6FF" w:rsidRDefault="003126FF">
      <w:pPr>
        <w:spacing w:before="120" w:after="120"/>
        <w:ind w:firstLine="709"/>
        <w:jc w:val="both"/>
      </w:pPr>
      <w:r>
        <w:br w:type="page"/>
      </w:r>
    </w:p>
    <w:p w:rsidR="00807224" w:rsidRPr="00E55115" w:rsidRDefault="00807224" w:rsidP="0080722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807224" w:rsidRPr="00E55115" w:rsidRDefault="00807224" w:rsidP="0080722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807224" w:rsidRPr="00E55115" w:rsidRDefault="00807224" w:rsidP="0080722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предусмотренных за счет средств бюджета Гагаринского городского поселения Гагаринского района Смоленской области</w:t>
      </w:r>
      <w:r w:rsidRPr="00E55115">
        <w:rPr>
          <w:rFonts w:ascii="Times New Roman" w:hAnsi="Times New Roman" w:cs="Times New Roman"/>
          <w:sz w:val="28"/>
          <w:szCs w:val="28"/>
        </w:rPr>
        <w:t xml:space="preserve"> по состоянию </w:t>
      </w:r>
    </w:p>
    <w:p w:rsidR="00807224" w:rsidRPr="00CD4F90" w:rsidRDefault="00807224" w:rsidP="0080722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01.</w:t>
      </w:r>
      <w:r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D6E0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807224" w:rsidRDefault="00807224" w:rsidP="0080722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7224" w:rsidRPr="00E55115" w:rsidRDefault="00807224" w:rsidP="0080722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66"/>
        <w:gridCol w:w="2759"/>
        <w:gridCol w:w="1695"/>
        <w:gridCol w:w="1758"/>
      </w:tblGrid>
      <w:tr w:rsidR="00807224" w:rsidRPr="00E36125" w:rsidTr="00807224">
        <w:trPr>
          <w:cantSplit/>
          <w:trHeight w:val="72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E36125" w:rsidRDefault="00807224" w:rsidP="007972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Гагаринского городского поселения Гагаринского района Смоленской области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E36125" w:rsidRDefault="00807224" w:rsidP="007972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E36125" w:rsidRDefault="00807224" w:rsidP="007972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24" w:rsidRPr="00E36125" w:rsidRDefault="00807224" w:rsidP="007972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807224" w:rsidRPr="00E36125" w:rsidTr="00807224">
        <w:trPr>
          <w:cantSplit/>
          <w:trHeight w:val="24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E36125" w:rsidRDefault="00807224" w:rsidP="007972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E36125" w:rsidRDefault="00807224" w:rsidP="007972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E36125" w:rsidRDefault="00807224" w:rsidP="007972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24" w:rsidRPr="00E36125" w:rsidRDefault="00807224" w:rsidP="007972D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224" w:rsidRPr="00E36125" w:rsidTr="00807224">
        <w:trPr>
          <w:cantSplit/>
          <w:trHeight w:val="72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E3203D" w:rsidRDefault="00807224" w:rsidP="007972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E3203D" w:rsidRDefault="00807224" w:rsidP="007972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8120027770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E3203D" w:rsidRDefault="00807224" w:rsidP="007972D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24" w:rsidRPr="00E3203D" w:rsidRDefault="00807224" w:rsidP="007972D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2 000 000,0</w:t>
            </w:r>
          </w:p>
        </w:tc>
      </w:tr>
      <w:tr w:rsidR="00807224" w:rsidRPr="00D57407" w:rsidTr="00807224">
        <w:trPr>
          <w:cantSplit/>
          <w:trHeight w:val="276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D57407" w:rsidRDefault="00807224" w:rsidP="007972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D57407" w:rsidRDefault="00807224" w:rsidP="007972D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5545E4" w:rsidRDefault="00807224" w:rsidP="007972D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Pr="005545E4">
              <w:rPr>
                <w:rFonts w:ascii="Times New Roman" w:hAnsi="Times New Roman" w:cs="Times New Roman"/>
                <w:b/>
                <w:sz w:val="24"/>
                <w:szCs w:val="24"/>
              </w:rPr>
              <w:t>00 000,0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24" w:rsidRPr="00242846" w:rsidRDefault="00807224" w:rsidP="007972D2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</w:t>
            </w:r>
            <w:r w:rsidRPr="00242846">
              <w:rPr>
                <w:rFonts w:ascii="Times New Roman" w:hAnsi="Times New Roman" w:cs="Times New Roman"/>
                <w:b/>
                <w:sz w:val="24"/>
                <w:szCs w:val="24"/>
              </w:rPr>
              <w:t>00 000,0</w:t>
            </w:r>
          </w:p>
        </w:tc>
      </w:tr>
    </w:tbl>
    <w:p w:rsidR="00807224" w:rsidRPr="00E55115" w:rsidRDefault="00807224" w:rsidP="0080722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224" w:rsidRPr="00E55115" w:rsidRDefault="00807224" w:rsidP="0080722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18"/>
        <w:gridCol w:w="1834"/>
        <w:gridCol w:w="2143"/>
        <w:gridCol w:w="1966"/>
        <w:gridCol w:w="2007"/>
        <w:gridCol w:w="1310"/>
      </w:tblGrid>
      <w:tr w:rsidR="00807224" w:rsidRPr="008A4902" w:rsidTr="00807224">
        <w:trPr>
          <w:cantSplit/>
          <w:trHeight w:val="1200"/>
          <w:tblHeader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 xml:space="preserve">№ </w:t>
            </w:r>
            <w:proofErr w:type="spellStart"/>
            <w:proofErr w:type="gramStart"/>
            <w:r w:rsidRPr="008A4902">
              <w:t>п</w:t>
            </w:r>
            <w:proofErr w:type="spellEnd"/>
            <w:proofErr w:type="gramEnd"/>
            <w:r w:rsidRPr="008A4902">
              <w:t>/</w:t>
            </w:r>
            <w:proofErr w:type="spellStart"/>
            <w:r w:rsidRPr="008A4902">
              <w:t>п</w:t>
            </w:r>
            <w:proofErr w:type="spellEnd"/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Дата и номер распоряжения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Наименование главного распорядителя (получателя) средств бюджета муниципального образования «Гагаринский район» Смоленской области код бюджетной классификации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Наименование расходов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Сумма в соответствии с распоряжением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Кассовый расход</w:t>
            </w:r>
          </w:p>
        </w:tc>
      </w:tr>
      <w:tr w:rsidR="00807224" w:rsidRPr="008A4902" w:rsidTr="00807224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2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3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4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  <w:r w:rsidRPr="008A4902">
              <w:t>6</w:t>
            </w:r>
          </w:p>
        </w:tc>
      </w:tr>
      <w:tr w:rsidR="00807224" w:rsidRPr="008A4902" w:rsidTr="00807224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3F65F8" w:rsidRDefault="00807224" w:rsidP="007972D2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  <w:jc w:val="center"/>
            </w:pPr>
          </w:p>
        </w:tc>
      </w:tr>
      <w:tr w:rsidR="00807224" w:rsidRPr="008A4902" w:rsidTr="00807224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Default="00807224" w:rsidP="007972D2">
            <w:pPr>
              <w:snapToGrid w:val="0"/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A4902" w:rsidRDefault="00807224" w:rsidP="007972D2">
            <w:pPr>
              <w:snapToGrid w:val="0"/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Default="00807224" w:rsidP="007972D2">
            <w:pPr>
              <w:snapToGrid w:val="0"/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Default="00807224" w:rsidP="007972D2">
            <w:pPr>
              <w:snapToGrid w:val="0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24" w:rsidRDefault="00807224" w:rsidP="007972D2">
            <w:pPr>
              <w:snapToGrid w:val="0"/>
              <w:jc w:val="center"/>
            </w:pPr>
          </w:p>
        </w:tc>
      </w:tr>
      <w:tr w:rsidR="00807224" w:rsidRPr="00D57407" w:rsidTr="00807224">
        <w:trPr>
          <w:cantSplit/>
          <w:trHeight w:val="24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D57407" w:rsidRDefault="00807224" w:rsidP="007972D2">
            <w:pPr>
              <w:snapToGrid w:val="0"/>
              <w:rPr>
                <w:b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D57407" w:rsidRDefault="00807224" w:rsidP="007972D2">
            <w:pPr>
              <w:snapToGrid w:val="0"/>
              <w:rPr>
                <w:b/>
              </w:rPr>
            </w:pPr>
            <w:r w:rsidRPr="00D57407">
              <w:rPr>
                <w:b/>
              </w:rPr>
              <w:t xml:space="preserve">Итого 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D57407" w:rsidRDefault="00807224" w:rsidP="007972D2">
            <w:pPr>
              <w:snapToGrid w:val="0"/>
              <w:rPr>
                <w:b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D57407" w:rsidRDefault="00807224" w:rsidP="007972D2">
            <w:pPr>
              <w:snapToGrid w:val="0"/>
              <w:rPr>
                <w:b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224" w:rsidRPr="008125FA" w:rsidRDefault="00807224" w:rsidP="007972D2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224" w:rsidRPr="006C40EE" w:rsidRDefault="00807224" w:rsidP="007972D2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0,0</w:t>
            </w:r>
          </w:p>
        </w:tc>
      </w:tr>
    </w:tbl>
    <w:p w:rsidR="00440879" w:rsidRPr="00440879" w:rsidRDefault="00440879" w:rsidP="00A86D0B">
      <w:pPr>
        <w:widowControl w:val="0"/>
        <w:tabs>
          <w:tab w:val="left" w:pos="627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440879" w:rsidRPr="00440879" w:rsidSect="00943D76">
      <w:headerReference w:type="default" r:id="rId7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0F" w:rsidRDefault="00B0300F" w:rsidP="00603A8D">
      <w:r>
        <w:separator/>
      </w:r>
    </w:p>
  </w:endnote>
  <w:endnote w:type="continuationSeparator" w:id="0">
    <w:p w:rsidR="00B0300F" w:rsidRDefault="00B0300F" w:rsidP="0060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0F" w:rsidRDefault="00B0300F" w:rsidP="00603A8D">
      <w:r>
        <w:separator/>
      </w:r>
    </w:p>
  </w:footnote>
  <w:footnote w:type="continuationSeparator" w:id="0">
    <w:p w:rsidR="00B0300F" w:rsidRDefault="00B0300F" w:rsidP="00603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67" w:rsidRDefault="00C96767" w:rsidP="00C96767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8D"/>
    <w:rsid w:val="000078D9"/>
    <w:rsid w:val="00016E50"/>
    <w:rsid w:val="00030F44"/>
    <w:rsid w:val="00032668"/>
    <w:rsid w:val="0003576A"/>
    <w:rsid w:val="0004148B"/>
    <w:rsid w:val="00051FC6"/>
    <w:rsid w:val="000522DF"/>
    <w:rsid w:val="00054C67"/>
    <w:rsid w:val="0006536B"/>
    <w:rsid w:val="000716F5"/>
    <w:rsid w:val="000746A4"/>
    <w:rsid w:val="000879FF"/>
    <w:rsid w:val="0009256C"/>
    <w:rsid w:val="00097CC9"/>
    <w:rsid w:val="000A4708"/>
    <w:rsid w:val="000B7867"/>
    <w:rsid w:val="000C7B53"/>
    <w:rsid w:val="001136A8"/>
    <w:rsid w:val="00116691"/>
    <w:rsid w:val="00120620"/>
    <w:rsid w:val="00122A64"/>
    <w:rsid w:val="00126634"/>
    <w:rsid w:val="0013321E"/>
    <w:rsid w:val="00134BFE"/>
    <w:rsid w:val="001370B0"/>
    <w:rsid w:val="00142E08"/>
    <w:rsid w:val="00166DBF"/>
    <w:rsid w:val="00166FC4"/>
    <w:rsid w:val="001858B5"/>
    <w:rsid w:val="00186E20"/>
    <w:rsid w:val="00193F1B"/>
    <w:rsid w:val="001A15A3"/>
    <w:rsid w:val="001C2D05"/>
    <w:rsid w:val="001C7BAE"/>
    <w:rsid w:val="001E5B03"/>
    <w:rsid w:val="001F157E"/>
    <w:rsid w:val="001F1AF0"/>
    <w:rsid w:val="0021200F"/>
    <w:rsid w:val="00214262"/>
    <w:rsid w:val="002147CD"/>
    <w:rsid w:val="0023397F"/>
    <w:rsid w:val="00240294"/>
    <w:rsid w:val="0024422D"/>
    <w:rsid w:val="00250580"/>
    <w:rsid w:val="00251E06"/>
    <w:rsid w:val="002606CF"/>
    <w:rsid w:val="002638EA"/>
    <w:rsid w:val="00272C4E"/>
    <w:rsid w:val="002824D4"/>
    <w:rsid w:val="00284B52"/>
    <w:rsid w:val="00291A1F"/>
    <w:rsid w:val="002A0F11"/>
    <w:rsid w:val="002A6094"/>
    <w:rsid w:val="002B3AFA"/>
    <w:rsid w:val="002B71F4"/>
    <w:rsid w:val="002C55B9"/>
    <w:rsid w:val="002D59E3"/>
    <w:rsid w:val="002E23C4"/>
    <w:rsid w:val="002E4F64"/>
    <w:rsid w:val="0030437D"/>
    <w:rsid w:val="003109EC"/>
    <w:rsid w:val="003126FF"/>
    <w:rsid w:val="00320E91"/>
    <w:rsid w:val="00332E61"/>
    <w:rsid w:val="0033453F"/>
    <w:rsid w:val="00361C1A"/>
    <w:rsid w:val="0036791D"/>
    <w:rsid w:val="003A0B8A"/>
    <w:rsid w:val="003A2B07"/>
    <w:rsid w:val="003A331F"/>
    <w:rsid w:val="003B7191"/>
    <w:rsid w:val="003C066A"/>
    <w:rsid w:val="003D0181"/>
    <w:rsid w:val="003D56A7"/>
    <w:rsid w:val="003E5DCD"/>
    <w:rsid w:val="003F11D4"/>
    <w:rsid w:val="00416562"/>
    <w:rsid w:val="0042209A"/>
    <w:rsid w:val="004247F7"/>
    <w:rsid w:val="00436716"/>
    <w:rsid w:val="00440879"/>
    <w:rsid w:val="00442161"/>
    <w:rsid w:val="00477AD8"/>
    <w:rsid w:val="0049462E"/>
    <w:rsid w:val="004969CA"/>
    <w:rsid w:val="00497321"/>
    <w:rsid w:val="004A779E"/>
    <w:rsid w:val="004B37C7"/>
    <w:rsid w:val="004B4C42"/>
    <w:rsid w:val="004C1C55"/>
    <w:rsid w:val="004C6B6D"/>
    <w:rsid w:val="004C6D95"/>
    <w:rsid w:val="004C7676"/>
    <w:rsid w:val="004E15CC"/>
    <w:rsid w:val="004F0934"/>
    <w:rsid w:val="004F0F18"/>
    <w:rsid w:val="004F438D"/>
    <w:rsid w:val="004F5FF3"/>
    <w:rsid w:val="004F7AFE"/>
    <w:rsid w:val="005100A2"/>
    <w:rsid w:val="00524A85"/>
    <w:rsid w:val="00531619"/>
    <w:rsid w:val="005455EE"/>
    <w:rsid w:val="005466DD"/>
    <w:rsid w:val="0055790E"/>
    <w:rsid w:val="00571676"/>
    <w:rsid w:val="00571AFB"/>
    <w:rsid w:val="00581BE3"/>
    <w:rsid w:val="00591BDC"/>
    <w:rsid w:val="00593D25"/>
    <w:rsid w:val="005942EB"/>
    <w:rsid w:val="005946E9"/>
    <w:rsid w:val="005973B9"/>
    <w:rsid w:val="005B0DA1"/>
    <w:rsid w:val="005D6062"/>
    <w:rsid w:val="005E7E6E"/>
    <w:rsid w:val="005F20BE"/>
    <w:rsid w:val="005F2333"/>
    <w:rsid w:val="005F46C7"/>
    <w:rsid w:val="00603A8D"/>
    <w:rsid w:val="006171DC"/>
    <w:rsid w:val="00660684"/>
    <w:rsid w:val="006762B7"/>
    <w:rsid w:val="006835BE"/>
    <w:rsid w:val="00683CA4"/>
    <w:rsid w:val="00696847"/>
    <w:rsid w:val="006A38C2"/>
    <w:rsid w:val="006B0F12"/>
    <w:rsid w:val="006B3C05"/>
    <w:rsid w:val="006B4E2C"/>
    <w:rsid w:val="006C267C"/>
    <w:rsid w:val="006C3062"/>
    <w:rsid w:val="006D0167"/>
    <w:rsid w:val="006D51A6"/>
    <w:rsid w:val="006D66D6"/>
    <w:rsid w:val="006F3281"/>
    <w:rsid w:val="006F7DE1"/>
    <w:rsid w:val="00704D96"/>
    <w:rsid w:val="00751290"/>
    <w:rsid w:val="00796F4D"/>
    <w:rsid w:val="007A7FBF"/>
    <w:rsid w:val="007B2973"/>
    <w:rsid w:val="007C50C1"/>
    <w:rsid w:val="007C5DFC"/>
    <w:rsid w:val="007C763B"/>
    <w:rsid w:val="00807224"/>
    <w:rsid w:val="00807D4F"/>
    <w:rsid w:val="00807F24"/>
    <w:rsid w:val="008255F7"/>
    <w:rsid w:val="00847BF8"/>
    <w:rsid w:val="00850CEC"/>
    <w:rsid w:val="00865362"/>
    <w:rsid w:val="00865D5F"/>
    <w:rsid w:val="00876EFB"/>
    <w:rsid w:val="00890BDD"/>
    <w:rsid w:val="008A2DFB"/>
    <w:rsid w:val="008A2F04"/>
    <w:rsid w:val="008B225C"/>
    <w:rsid w:val="008D4F99"/>
    <w:rsid w:val="008F2233"/>
    <w:rsid w:val="008F7E93"/>
    <w:rsid w:val="00903CB5"/>
    <w:rsid w:val="009122BF"/>
    <w:rsid w:val="00925260"/>
    <w:rsid w:val="00943D76"/>
    <w:rsid w:val="00945ABE"/>
    <w:rsid w:val="009516BF"/>
    <w:rsid w:val="009623AD"/>
    <w:rsid w:val="00980E8A"/>
    <w:rsid w:val="0098500D"/>
    <w:rsid w:val="00986D49"/>
    <w:rsid w:val="009B0E6B"/>
    <w:rsid w:val="009B0F52"/>
    <w:rsid w:val="009B56FE"/>
    <w:rsid w:val="009E33C8"/>
    <w:rsid w:val="00A02601"/>
    <w:rsid w:val="00A1039D"/>
    <w:rsid w:val="00A20AE4"/>
    <w:rsid w:val="00A22462"/>
    <w:rsid w:val="00A34EFD"/>
    <w:rsid w:val="00A5408A"/>
    <w:rsid w:val="00A543CD"/>
    <w:rsid w:val="00A66CE0"/>
    <w:rsid w:val="00A75F28"/>
    <w:rsid w:val="00A7753C"/>
    <w:rsid w:val="00A86D0B"/>
    <w:rsid w:val="00A91738"/>
    <w:rsid w:val="00AA27DD"/>
    <w:rsid w:val="00AA5255"/>
    <w:rsid w:val="00AB143D"/>
    <w:rsid w:val="00AC4B91"/>
    <w:rsid w:val="00AF3F1A"/>
    <w:rsid w:val="00B0300F"/>
    <w:rsid w:val="00B0325C"/>
    <w:rsid w:val="00B13A8A"/>
    <w:rsid w:val="00B1518B"/>
    <w:rsid w:val="00B21022"/>
    <w:rsid w:val="00B26463"/>
    <w:rsid w:val="00B60DA9"/>
    <w:rsid w:val="00B65A4C"/>
    <w:rsid w:val="00B71F92"/>
    <w:rsid w:val="00B723C7"/>
    <w:rsid w:val="00B87C4E"/>
    <w:rsid w:val="00BC24DA"/>
    <w:rsid w:val="00BE7C2F"/>
    <w:rsid w:val="00BF345B"/>
    <w:rsid w:val="00BF75B3"/>
    <w:rsid w:val="00C1279C"/>
    <w:rsid w:val="00C2055B"/>
    <w:rsid w:val="00C447E9"/>
    <w:rsid w:val="00C452D9"/>
    <w:rsid w:val="00C461E3"/>
    <w:rsid w:val="00C474B0"/>
    <w:rsid w:val="00C549D2"/>
    <w:rsid w:val="00C6100F"/>
    <w:rsid w:val="00C627E2"/>
    <w:rsid w:val="00C708F5"/>
    <w:rsid w:val="00C94830"/>
    <w:rsid w:val="00C96767"/>
    <w:rsid w:val="00C97B2E"/>
    <w:rsid w:val="00CA546E"/>
    <w:rsid w:val="00CB20EA"/>
    <w:rsid w:val="00CB62D7"/>
    <w:rsid w:val="00CB6662"/>
    <w:rsid w:val="00CC0097"/>
    <w:rsid w:val="00CD16C5"/>
    <w:rsid w:val="00CD423E"/>
    <w:rsid w:val="00CD6E04"/>
    <w:rsid w:val="00CF6AEF"/>
    <w:rsid w:val="00D20D67"/>
    <w:rsid w:val="00D27890"/>
    <w:rsid w:val="00D338B3"/>
    <w:rsid w:val="00D44D32"/>
    <w:rsid w:val="00D44E04"/>
    <w:rsid w:val="00D520F0"/>
    <w:rsid w:val="00D634AC"/>
    <w:rsid w:val="00D70939"/>
    <w:rsid w:val="00D70A9E"/>
    <w:rsid w:val="00D828C9"/>
    <w:rsid w:val="00D97628"/>
    <w:rsid w:val="00DC4149"/>
    <w:rsid w:val="00DD023C"/>
    <w:rsid w:val="00DF4E1A"/>
    <w:rsid w:val="00DF558D"/>
    <w:rsid w:val="00E01B0F"/>
    <w:rsid w:val="00E029D3"/>
    <w:rsid w:val="00E13780"/>
    <w:rsid w:val="00E165FA"/>
    <w:rsid w:val="00E26815"/>
    <w:rsid w:val="00E26B27"/>
    <w:rsid w:val="00E51E1E"/>
    <w:rsid w:val="00E61FBC"/>
    <w:rsid w:val="00E80860"/>
    <w:rsid w:val="00EA44A8"/>
    <w:rsid w:val="00EA6C00"/>
    <w:rsid w:val="00EB3644"/>
    <w:rsid w:val="00EC5474"/>
    <w:rsid w:val="00ED16C5"/>
    <w:rsid w:val="00ED7254"/>
    <w:rsid w:val="00ED7A0B"/>
    <w:rsid w:val="00EF1DD7"/>
    <w:rsid w:val="00EF2DB5"/>
    <w:rsid w:val="00F11000"/>
    <w:rsid w:val="00F12E94"/>
    <w:rsid w:val="00F1415A"/>
    <w:rsid w:val="00F26A57"/>
    <w:rsid w:val="00F34DDA"/>
    <w:rsid w:val="00F45160"/>
    <w:rsid w:val="00F5118F"/>
    <w:rsid w:val="00F538BD"/>
    <w:rsid w:val="00F81F90"/>
    <w:rsid w:val="00FB624D"/>
    <w:rsid w:val="00FB7AF3"/>
    <w:rsid w:val="00FC1949"/>
    <w:rsid w:val="00FC4E4C"/>
    <w:rsid w:val="00FD70E9"/>
    <w:rsid w:val="00FE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D"/>
    <w:pPr>
      <w:spacing w:before="0" w:after="0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A8D"/>
    <w:pPr>
      <w:keepNext/>
      <w:jc w:val="right"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3A8D"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A8D"/>
    <w:rPr>
      <w:rFonts w:eastAsia="Times New Roman"/>
      <w:caps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03A8D"/>
    <w:rPr>
      <w:rFonts w:eastAsia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A8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A8D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708F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4087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0879"/>
    <w:pPr>
      <w:widowControl w:val="0"/>
      <w:suppressAutoHyphens/>
      <w:autoSpaceDE w:val="0"/>
      <w:spacing w:before="0"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3109E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109EC"/>
    <w:rPr>
      <w:color w:val="800080"/>
      <w:u w:val="single"/>
    </w:rPr>
  </w:style>
  <w:style w:type="paragraph" w:customStyle="1" w:styleId="xl65">
    <w:name w:val="xl6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3109EC"/>
    <w:pPr>
      <w:shd w:val="clear" w:color="auto" w:fill="00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3109EC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3109EC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3">
    <w:name w:val="xl73"/>
    <w:basedOn w:val="a"/>
    <w:rsid w:val="003109EC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109E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109E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109EC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3109E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10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109E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3109EC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87">
    <w:name w:val="xl8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3109EC"/>
    <w:pPr>
      <w:shd w:val="clear" w:color="auto" w:fill="DBE5F1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3109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3109EC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3109EC"/>
    <w:pPr>
      <w:shd w:val="clear" w:color="auto" w:fill="B8CCE4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3109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2">
    <w:name w:val="xl11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4"/>
      <w:szCs w:val="24"/>
    </w:rPr>
  </w:style>
  <w:style w:type="paragraph" w:customStyle="1" w:styleId="xl115">
    <w:name w:val="xl11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6">
    <w:name w:val="xl11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3109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3109E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2">
    <w:name w:val="xl132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3109E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7">
    <w:name w:val="xl137"/>
    <w:basedOn w:val="a"/>
    <w:rsid w:val="003109EC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38">
    <w:name w:val="xl138"/>
    <w:basedOn w:val="a"/>
    <w:rsid w:val="00310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310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310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33</cp:revision>
  <cp:lastPrinted>2019-05-20T06:50:00Z</cp:lastPrinted>
  <dcterms:created xsi:type="dcterms:W3CDTF">2018-05-04T05:19:00Z</dcterms:created>
  <dcterms:modified xsi:type="dcterms:W3CDTF">2023-09-05T13:13:00Z</dcterms:modified>
</cp:coreProperties>
</file>